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E329A" w:rsidRDefault="00AE329A">
      <w:pPr>
        <w:ind w:left="-2" w:firstLine="0"/>
        <w:rPr>
          <w:color w:val="CF012C"/>
          <w:sz w:val="2"/>
          <w:szCs w:val="2"/>
        </w:rPr>
      </w:pPr>
    </w:p>
    <w:p w14:paraId="00000002" w14:textId="77777777" w:rsidR="00AE32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b/>
          <w:color w:val="C00000"/>
          <w:sz w:val="26"/>
          <w:szCs w:val="26"/>
        </w:rPr>
      </w:pPr>
      <w:r>
        <w:rPr>
          <w:b/>
          <w:color w:val="C00000"/>
          <w:sz w:val="26"/>
          <w:szCs w:val="26"/>
        </w:rPr>
        <w:t>Enseignement dirigé : Familles de situation</w:t>
      </w:r>
    </w:p>
    <w:p w14:paraId="00000003" w14:textId="251EAA36" w:rsidR="00AE329A" w:rsidRDefault="00000000">
      <w:pPr>
        <w:ind w:left="1" w:hanging="3"/>
        <w:jc w:val="center"/>
        <w:rPr>
          <w:sz w:val="10"/>
          <w:szCs w:val="10"/>
        </w:rPr>
      </w:pPr>
      <w:r>
        <w:rPr>
          <w:i/>
          <w:sz w:val="28"/>
          <w:szCs w:val="28"/>
        </w:rPr>
        <w:t>Année 2023-2024</w:t>
      </w:r>
    </w:p>
    <w:p w14:paraId="00000004" w14:textId="77777777" w:rsidR="00AE329A" w:rsidRDefault="00AE329A">
      <w:pPr>
        <w:rPr>
          <w:sz w:val="10"/>
          <w:szCs w:val="10"/>
        </w:rPr>
      </w:pPr>
    </w:p>
    <w:p w14:paraId="00000005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Les séances autour des familles de situation (FDS) sont obligatoires dans l’offre de formation du DES. </w:t>
      </w:r>
    </w:p>
    <w:p w14:paraId="00000006" w14:textId="77777777" w:rsidR="00AE329A" w:rsidRDefault="00AE329A">
      <w:pPr>
        <w:ind w:left="0" w:hanging="2"/>
        <w:rPr>
          <w:sz w:val="22"/>
          <w:szCs w:val="22"/>
        </w:rPr>
      </w:pPr>
    </w:p>
    <w:p w14:paraId="00000007" w14:textId="77777777" w:rsidR="00AE329A" w:rsidRDefault="00000000">
      <w:pPr>
        <w:pStyle w:val="Titre"/>
        <w:ind w:left="1" w:hanging="3"/>
        <w:jc w:val="left"/>
      </w:pPr>
      <w:r>
        <w:t>Généralités</w:t>
      </w:r>
    </w:p>
    <w:p w14:paraId="00000008" w14:textId="77777777" w:rsidR="00AE329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Objectifs spécifiques des FDS</w:t>
      </w:r>
    </w:p>
    <w:p w14:paraId="00000009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Chaque séance est organisée autour d’une famille de situation. Les objectifs des séances sont :</w:t>
      </w:r>
    </w:p>
    <w:p w14:paraId="0000000A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Acquérir la connaissance des concepts liés à ces FDS</w:t>
      </w:r>
    </w:p>
    <w:p w14:paraId="0000000B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Savoir identifier les problématiques posées autour de cette FDS</w:t>
      </w:r>
    </w:p>
    <w:p w14:paraId="0000000C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Savoir effectuer des recherches ciblées et les synthétiser pour répondre à une problématique</w:t>
      </w:r>
    </w:p>
    <w:p w14:paraId="0000000D" w14:textId="77777777" w:rsidR="00AE329A" w:rsidRDefault="00AE329A">
      <w:pPr>
        <w:ind w:left="0" w:hanging="2"/>
        <w:rPr>
          <w:sz w:val="22"/>
          <w:szCs w:val="22"/>
        </w:rPr>
      </w:pPr>
    </w:p>
    <w:p w14:paraId="0000000E" w14:textId="77777777" w:rsidR="00AE329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Cadre général</w:t>
      </w:r>
    </w:p>
    <w:p w14:paraId="0000000F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Chaque FDS a une animation adaptée aux objectifs spécifiques de la séance</w:t>
      </w:r>
    </w:p>
    <w:p w14:paraId="00000010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L'enseignant veille à envoyer les consignes de préparation aux étudiants au moins 1 semaine avant la séance, quand c'est requis par les modalités d'animation</w:t>
      </w:r>
    </w:p>
    <w:p w14:paraId="00000011" w14:textId="77777777" w:rsidR="00AE329A" w:rsidRDefault="00000000">
      <w:pPr>
        <w:numPr>
          <w:ilvl w:val="0"/>
          <w:numId w:val="6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Pour toutes les séances : demander aux étudiants de venir avec leur ordinateur pour permettre la réalisation de recherches durant le cours</w:t>
      </w:r>
    </w:p>
    <w:p w14:paraId="00000012" w14:textId="77777777" w:rsidR="00AE329A" w:rsidRDefault="00AE329A">
      <w:pPr>
        <w:ind w:left="0" w:hanging="2"/>
        <w:rPr>
          <w:sz w:val="22"/>
          <w:szCs w:val="22"/>
        </w:rPr>
      </w:pPr>
    </w:p>
    <w:p w14:paraId="00000013" w14:textId="77777777" w:rsidR="00AE329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Missions de l’enseignant en responsabilité d’une séance de FDS</w:t>
      </w:r>
    </w:p>
    <w:p w14:paraId="00000014" w14:textId="77777777" w:rsidR="00AE329A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L’animateur rappelle les consignes et les règles de fonctionnement : anonymat, bienveillance, confidentialité, ponctualité.</w:t>
      </w:r>
    </w:p>
    <w:p w14:paraId="00000015" w14:textId="77777777" w:rsidR="00AE329A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Il explique si besoin les notions théoriques liées à la FDS</w:t>
      </w:r>
    </w:p>
    <w:p w14:paraId="00000016" w14:textId="77777777" w:rsidR="00AE329A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bookmarkStart w:id="0" w:name="_heading=h.30j0zll" w:colFirst="0" w:colLast="0"/>
      <w:bookmarkEnd w:id="0"/>
      <w:r>
        <w:rPr>
          <w:sz w:val="22"/>
          <w:szCs w:val="22"/>
        </w:rPr>
        <w:t>Il aide à faire émerger les problématiques pertinentes</w:t>
      </w:r>
    </w:p>
    <w:p w14:paraId="00000017" w14:textId="77777777" w:rsidR="00AE329A" w:rsidRDefault="00000000">
      <w:pPr>
        <w:numPr>
          <w:ilvl w:val="0"/>
          <w:numId w:val="3"/>
        </w:numPr>
        <w:ind w:left="0" w:hanging="2"/>
        <w:rPr>
          <w:sz w:val="22"/>
          <w:szCs w:val="22"/>
        </w:rPr>
      </w:pPr>
      <w:r>
        <w:rPr>
          <w:sz w:val="22"/>
          <w:szCs w:val="22"/>
        </w:rPr>
        <w:t>Il conseille les étudiants pour les aider à trouver les ressources nécessaires pour répondre aux problématiques</w:t>
      </w:r>
    </w:p>
    <w:p w14:paraId="00000018" w14:textId="77777777" w:rsidR="00AE329A" w:rsidRDefault="00AE329A">
      <w:pPr>
        <w:ind w:left="0" w:hanging="2"/>
        <w:rPr>
          <w:sz w:val="22"/>
          <w:szCs w:val="22"/>
        </w:rPr>
      </w:pPr>
    </w:p>
    <w:p w14:paraId="00000019" w14:textId="77777777" w:rsidR="00AE329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Conditions de validation des séances</w:t>
      </w:r>
    </w:p>
    <w:p w14:paraId="0000001A" w14:textId="77777777" w:rsidR="00AE329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 présence à toutes les séances est obligatoire pour la validation du DES</w:t>
      </w:r>
    </w:p>
    <w:p w14:paraId="0000001B" w14:textId="77777777" w:rsidR="00AE329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étudiants se doivent d’arriver à l’heure à la séance. Un retard de 15 minutes maximum est toléré</w:t>
      </w:r>
    </w:p>
    <w:p w14:paraId="0000001C" w14:textId="77777777" w:rsidR="00AE329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 cas d’absence exceptionnelle, l’étudiant doit prévenir les animateurs et le secrétariat du DMG. Le nombre d’absence sera pris en compte pour la validation du DES</w:t>
      </w:r>
    </w:p>
    <w:p w14:paraId="0000001D" w14:textId="77777777" w:rsidR="00AE329A" w:rsidRDefault="00AE329A">
      <w:pPr>
        <w:ind w:left="0" w:hanging="2"/>
        <w:rPr>
          <w:sz w:val="22"/>
          <w:szCs w:val="22"/>
        </w:rPr>
      </w:pPr>
    </w:p>
    <w:p w14:paraId="0000001E" w14:textId="77777777" w:rsidR="00AE329A" w:rsidRDefault="0000000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 w:line="240" w:lineRule="auto"/>
        <w:ind w:left="0" w:hanging="2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Thèmes, objectifs et déroulé pédagogique des séances de familles de situation </w:t>
      </w:r>
    </w:p>
    <w:p w14:paraId="0000001F" w14:textId="77777777" w:rsidR="00AE329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Les déroulés sont décrits dans ce documents ci-après. Ils sont également disponibles sur le site du DMG</w:t>
      </w:r>
    </w:p>
    <w:p w14:paraId="00000020" w14:textId="77777777" w:rsidR="00AE329A" w:rsidRDefault="0000000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Pour chaque séance, il y a :</w:t>
      </w:r>
    </w:p>
    <w:p w14:paraId="00000021" w14:textId="77777777" w:rsidR="00AE329A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 déroulé</w:t>
      </w:r>
    </w:p>
    <w:p w14:paraId="00000022" w14:textId="77777777" w:rsidR="00AE329A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des documents « Enseignants » pour permettre de s’imprégner du thème, prendre connaissance de documents de référence sur le sujet ou la méthode pédagogique </w:t>
      </w:r>
    </w:p>
    <w:p w14:paraId="00000023" w14:textId="77777777" w:rsidR="00AE329A" w:rsidRDefault="00000000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éventuellement des documents à utiliser pendant la séance</w:t>
      </w:r>
    </w:p>
    <w:p w14:paraId="00000024" w14:textId="77777777" w:rsidR="00AE329A" w:rsidRDefault="00AE329A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</w:p>
    <w:p w14:paraId="00000052" w14:textId="5740F4C3" w:rsidR="00AE329A" w:rsidRDefault="00000000" w:rsidP="003E36D2">
      <w:pPr>
        <w:pStyle w:val="Titre"/>
        <w:ind w:left="1" w:hanging="3"/>
      </w:pPr>
      <w:r>
        <w:br w:type="page"/>
      </w:r>
      <w:r>
        <w:lastRenderedPageBreak/>
        <w:t>Phase socle</w:t>
      </w:r>
      <w:r w:rsidR="003E36D2">
        <w:t> :</w:t>
      </w:r>
    </w:p>
    <w:p w14:paraId="3DB73AEC" w14:textId="77777777" w:rsidR="003E36D2" w:rsidRPr="003E36D2" w:rsidRDefault="003E36D2" w:rsidP="003E36D2">
      <w:pPr>
        <w:ind w:left="0" w:hanging="2"/>
      </w:pPr>
    </w:p>
    <w:p w14:paraId="00000053" w14:textId="77777777" w:rsidR="00AE329A" w:rsidRDefault="00000000">
      <w:pPr>
        <w:pStyle w:val="Titre2"/>
        <w:ind w:left="0" w:hanging="2"/>
      </w:pPr>
      <w:bookmarkStart w:id="1" w:name="_heading=h.3znysh7" w:colFirst="0" w:colLast="0"/>
      <w:bookmarkEnd w:id="1"/>
      <w:r>
        <w:t>Urgences réelles, urgences ressenties</w:t>
      </w:r>
    </w:p>
    <w:p w14:paraId="00000054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</w:t>
      </w:r>
    </w:p>
    <w:p w14:paraId="00000055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la PEC des urgences somatiques, psychologique et psychiatriques, sociales</w:t>
      </w:r>
    </w:p>
    <w:p w14:paraId="00000056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aborder les notions d'incertitude et de </w:t>
      </w:r>
      <w:r>
        <w:rPr>
          <w:i/>
          <w:sz w:val="22"/>
          <w:szCs w:val="22"/>
        </w:rPr>
        <w:t>gut feeling</w:t>
      </w:r>
    </w:p>
    <w:p w14:paraId="00000057" w14:textId="77777777" w:rsidR="00AE329A" w:rsidRDefault="00000000">
      <w:pPr>
        <w:ind w:left="0" w:hanging="2"/>
        <w:rPr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NB : les problématiques sociales et patients d’une autre culture sont abordées en détail en PhA1 et 2</w:t>
      </w:r>
    </w:p>
    <w:p w14:paraId="00000058" w14:textId="77777777" w:rsidR="00AE329A" w:rsidRDefault="00AE329A">
      <w:pPr>
        <w:ind w:left="0" w:hanging="2"/>
        <w:rPr>
          <w:sz w:val="22"/>
          <w:szCs w:val="22"/>
        </w:rPr>
      </w:pPr>
    </w:p>
    <w:p w14:paraId="0000006E" w14:textId="69B328B8" w:rsidR="00AE329A" w:rsidRDefault="00000000">
      <w:pPr>
        <w:pStyle w:val="Titre2"/>
        <w:ind w:left="0" w:hanging="2"/>
      </w:pPr>
      <w:r>
        <w:t>Pathologies chroniques</w:t>
      </w:r>
    </w:p>
    <w:p w14:paraId="0000006F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070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notions de fardeau du traitement, de hiérarchisation, de décision médicale partagée, d'éducation thérapeutique, de coordination des soins</w:t>
      </w:r>
    </w:p>
    <w:p w14:paraId="00000071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 - Sensibiliser les internes aux Interactions médicamenteuses et à la déprescription</w:t>
      </w:r>
    </w:p>
    <w:p w14:paraId="00000072" w14:textId="77777777" w:rsidR="00AE329A" w:rsidRDefault="00AE329A">
      <w:pPr>
        <w:ind w:left="0" w:hanging="2"/>
        <w:rPr>
          <w:sz w:val="22"/>
          <w:szCs w:val="22"/>
        </w:rPr>
      </w:pPr>
    </w:p>
    <w:p w14:paraId="00000073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NB</w:t>
      </w:r>
      <w:r>
        <w:rPr>
          <w:sz w:val="22"/>
          <w:szCs w:val="22"/>
        </w:rPr>
        <w:t> : le repérage, le diagnostic et le suivi de patients présentant des facteurs de risque ou des maladies chroniques organiques ou psychologiques sera revu en détail lors des différentes ST.</w:t>
      </w:r>
    </w:p>
    <w:p w14:paraId="00000074" w14:textId="77777777" w:rsidR="00AE329A" w:rsidRDefault="00AE329A">
      <w:pPr>
        <w:ind w:left="0" w:hanging="2"/>
        <w:rPr>
          <w:sz w:val="22"/>
          <w:szCs w:val="22"/>
        </w:rPr>
      </w:pPr>
    </w:p>
    <w:p w14:paraId="000000B2" w14:textId="192E19DA" w:rsidR="00AE329A" w:rsidRDefault="00000000">
      <w:pPr>
        <w:pStyle w:val="Titre2"/>
        <w:ind w:left="0" w:hanging="2"/>
        <w:rPr>
          <w:u w:val="single"/>
        </w:rPr>
      </w:pPr>
      <w:r>
        <w:t>Problèmes aigus fréquents</w:t>
      </w:r>
    </w:p>
    <w:p w14:paraId="000000B3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0B4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Savoir prendre en charge les nouveaux patients et les plaintes aigues non urgentes</w:t>
      </w:r>
    </w:p>
    <w:p w14:paraId="000000B5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la prévalence en médecine générale, de surdiagnostic et de prévention quaternaire</w:t>
      </w:r>
    </w:p>
    <w:p w14:paraId="000000B6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notions de motif caché, la prise en charge de douleur et les symptômes inexpliqués</w:t>
      </w:r>
    </w:p>
    <w:p w14:paraId="000000D4" w14:textId="18A26F1A" w:rsidR="00AE329A" w:rsidRDefault="00000000">
      <w:pPr>
        <w:pStyle w:val="Titre2"/>
        <w:ind w:left="0" w:hanging="2"/>
        <w:rPr>
          <w:u w:val="single"/>
        </w:rPr>
      </w:pPr>
      <w:r>
        <w:t>Problèmes sociaux</w:t>
      </w:r>
    </w:p>
    <w:p w14:paraId="000000D5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>Objectifs :</w:t>
      </w:r>
    </w:p>
    <w:p w14:paraId="000000D6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notions de précarité, d’inégalités sociales de santé (accès aux soins, accès à l’information, capacité à formuler une demande de soins)</w:t>
      </w:r>
    </w:p>
    <w:p w14:paraId="000000D7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Connaitre les différentes modalités d’accès aux soins (CSS, AME, TP AMO)</w:t>
      </w:r>
    </w:p>
    <w:p w14:paraId="000000D8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Connaitre les intervenants sociaux (PASS, assistant social, SAMU social…)</w:t>
      </w:r>
    </w:p>
    <w:p w14:paraId="1DA5A416" w14:textId="5A86B6E6" w:rsidR="003E36D2" w:rsidRDefault="003E36D2">
      <w:pPr>
        <w:spacing w:line="240" w:lineRule="auto"/>
        <w:ind w:leftChars="0" w:left="0" w:firstLineChars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7D237802" w14:textId="77777777" w:rsidR="003E36D2" w:rsidRDefault="003E36D2">
      <w:pPr>
        <w:ind w:left="0" w:hanging="2"/>
        <w:rPr>
          <w:sz w:val="22"/>
          <w:szCs w:val="22"/>
        </w:rPr>
      </w:pPr>
    </w:p>
    <w:p w14:paraId="000000F8" w14:textId="2A8D070C" w:rsidR="00AE329A" w:rsidRDefault="00000000" w:rsidP="003E36D2">
      <w:pPr>
        <w:pStyle w:val="Titre"/>
        <w:ind w:left="1" w:hanging="3"/>
      </w:pPr>
      <w:r>
        <w:t>Phase d’approfondissement 1 :</w:t>
      </w:r>
    </w:p>
    <w:p w14:paraId="3F9DEE62" w14:textId="77777777" w:rsidR="003E36D2" w:rsidRPr="003E36D2" w:rsidRDefault="003E36D2" w:rsidP="003E36D2">
      <w:pPr>
        <w:ind w:left="0" w:hanging="2"/>
      </w:pPr>
    </w:p>
    <w:p w14:paraId="000000F9" w14:textId="77777777" w:rsidR="00AE329A" w:rsidRDefault="00000000">
      <w:pPr>
        <w:pStyle w:val="Titre2"/>
        <w:ind w:left="0" w:hanging="2"/>
        <w:rPr>
          <w:u w:val="single"/>
        </w:rPr>
      </w:pPr>
      <w:r>
        <w:t>Aspects légaux et déontologiques</w:t>
      </w:r>
    </w:p>
    <w:p w14:paraId="000000FA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0FB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aborder l’autonomie du patient, le refus de soins, la loi Léonetti, la loi Kouchner (04/03/2002), </w:t>
      </w:r>
    </w:p>
    <w:p w14:paraId="000000FC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notions de déontologie, de liens d’intérêt, de secret médical, de signalement obligatoire</w:t>
      </w:r>
    </w:p>
    <w:p w14:paraId="000000FD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relations avec les autres professionnels de santé et les prof. non médicaux (assureurs…)</w:t>
      </w:r>
    </w:p>
    <w:p w14:paraId="000000FE" w14:textId="77777777" w:rsidR="00AE329A" w:rsidRDefault="00AE329A">
      <w:pPr>
        <w:ind w:left="0" w:hanging="2"/>
        <w:rPr>
          <w:sz w:val="22"/>
          <w:szCs w:val="22"/>
        </w:rPr>
      </w:pPr>
    </w:p>
    <w:p w14:paraId="00000138" w14:textId="594CC197" w:rsidR="00AE329A" w:rsidRDefault="00000000">
      <w:pPr>
        <w:pStyle w:val="Titre2"/>
        <w:ind w:left="0" w:hanging="2"/>
        <w:rPr>
          <w:u w:val="single"/>
        </w:rPr>
      </w:pPr>
      <w:r>
        <w:t>Patient d’une autre culture</w:t>
      </w:r>
    </w:p>
    <w:p w14:paraId="00000139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13A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aborder l’interculturalité (épidémiologie, altérité et définition) et l’approche interculturelle des soins </w:t>
      </w:r>
    </w:p>
    <w:p w14:paraId="0000013B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Savoir mener une consultation de patient migrant (1</w:t>
      </w:r>
      <w:r>
        <w:rPr>
          <w:sz w:val="22"/>
          <w:szCs w:val="22"/>
          <w:vertAlign w:val="superscript"/>
        </w:rPr>
        <w:t>ère</w:t>
      </w:r>
      <w:r>
        <w:rPr>
          <w:sz w:val="22"/>
          <w:szCs w:val="22"/>
        </w:rPr>
        <w:t xml:space="preserve"> consultation, vaccins, suivi)</w:t>
      </w:r>
    </w:p>
    <w:p w14:paraId="0000013C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difficultés de communication, les demandes d’AME, de titre de séjour et d’asile</w:t>
      </w:r>
    </w:p>
    <w:p w14:paraId="00000157" w14:textId="76949244" w:rsidR="00AE329A" w:rsidRDefault="00000000">
      <w:pPr>
        <w:pStyle w:val="Titre2"/>
        <w:ind w:left="0" w:hanging="2"/>
        <w:rPr>
          <w:u w:val="single"/>
        </w:rPr>
      </w:pPr>
      <w:r>
        <w:t>Enfants et adolescents</w:t>
      </w:r>
    </w:p>
    <w:p w14:paraId="00000158" w14:textId="77777777" w:rsidR="00AE329A" w:rsidRDefault="00000000">
      <w:pPr>
        <w:numPr>
          <w:ilvl w:val="0"/>
          <w:numId w:val="7"/>
        </w:numPr>
        <w:ind w:left="0" w:hanging="2"/>
        <w:rPr>
          <w:sz w:val="22"/>
          <w:szCs w:val="22"/>
        </w:rPr>
      </w:pPr>
      <w:r>
        <w:rPr>
          <w:b/>
          <w:color w:val="833C0B"/>
          <w:sz w:val="22"/>
          <w:szCs w:val="22"/>
          <w:u w:val="single"/>
        </w:rPr>
        <w:t>Objectifs</w:t>
      </w:r>
      <w:r>
        <w:rPr>
          <w:b/>
          <w:sz w:val="22"/>
          <w:szCs w:val="22"/>
          <w:u w:val="single"/>
        </w:rPr>
        <w:t xml:space="preserve"> : </w:t>
      </w:r>
      <w:r>
        <w:rPr>
          <w:b/>
          <w:sz w:val="22"/>
          <w:szCs w:val="22"/>
        </w:rPr>
        <w:t xml:space="preserve"> </w:t>
      </w:r>
    </w:p>
    <w:p w14:paraId="00000159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- Aborder les particularités de la relation (triangulaire, vouvoiement/tutoiement, mineur) </w:t>
      </w:r>
    </w:p>
    <w:p w14:paraId="0000015A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Connaitre le suivi de l’enfant et de l’adolescent (dépistages suicidaire, drogues, harcèlement, croissance)</w:t>
      </w:r>
    </w:p>
    <w:p w14:paraId="0000015B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les ressources particulières (réseaux, plateformes de coordination et orientation (PCO))</w:t>
      </w:r>
    </w:p>
    <w:p w14:paraId="0000015C" w14:textId="77777777" w:rsidR="00AE329A" w:rsidRDefault="00AE329A">
      <w:pPr>
        <w:ind w:left="0" w:hanging="2"/>
        <w:rPr>
          <w:sz w:val="22"/>
          <w:szCs w:val="22"/>
        </w:rPr>
      </w:pPr>
    </w:p>
    <w:p w14:paraId="0000015D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NB</w:t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Développement neuro-sensoriel de l’enfant et dépistage autisme abordé en « simulation enfant » , les vaccinations dans la séance thématisée centrée sur la « vaccination et les dépistages systématiques » et les infections courantes dans la séance thématisée centrée sur « l’infectiologie courante » en médecine générale.</w:t>
      </w:r>
    </w:p>
    <w:p w14:paraId="5F585376" w14:textId="77777777" w:rsidR="003E36D2" w:rsidRDefault="003E36D2">
      <w:pPr>
        <w:pStyle w:val="Titre2"/>
        <w:ind w:left="0" w:hanging="2"/>
      </w:pPr>
    </w:p>
    <w:p w14:paraId="00000176" w14:textId="1E8E978A" w:rsidR="00AE329A" w:rsidRDefault="00000000">
      <w:pPr>
        <w:pStyle w:val="Titre2"/>
        <w:ind w:left="0" w:hanging="2"/>
        <w:rPr>
          <w:u w:val="single"/>
        </w:rPr>
      </w:pPr>
      <w:r>
        <w:t>Patient exigeant</w:t>
      </w:r>
    </w:p>
    <w:p w14:paraId="00000177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178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Savoir gérer des demandes considérées comme abusives, agressivité</w:t>
      </w:r>
    </w:p>
    <w:p w14:paraId="00000179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Réfléchir sur le sentiment de mise en échec et sur les émotions vécues</w:t>
      </w:r>
    </w:p>
    <w:p w14:paraId="0000017A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l’impact sur la relation médecin patient (altération, accompagnement, posture)</w:t>
      </w:r>
    </w:p>
    <w:p w14:paraId="0000017B" w14:textId="7E6F37C2" w:rsidR="003E36D2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et les outils de communication</w:t>
      </w:r>
    </w:p>
    <w:p w14:paraId="0BBB0C7C" w14:textId="77777777" w:rsidR="003E36D2" w:rsidRDefault="003E36D2">
      <w:pPr>
        <w:spacing w:line="240" w:lineRule="auto"/>
        <w:ind w:leftChars="0" w:left="0" w:firstLineChars="0"/>
        <w:textDirection w:val="lrTb"/>
        <w:textAlignment w:val="auto"/>
        <w:outlineLvl w:val="9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00000196" w14:textId="386C35BA" w:rsidR="00AE329A" w:rsidRDefault="00000000" w:rsidP="003E36D2">
      <w:pPr>
        <w:pStyle w:val="Titre"/>
        <w:ind w:left="1" w:hanging="3"/>
      </w:pPr>
      <w:r>
        <w:lastRenderedPageBreak/>
        <w:t>Phase d’approfondissement 2 :</w:t>
      </w:r>
    </w:p>
    <w:p w14:paraId="2932D7D4" w14:textId="77777777" w:rsidR="003E36D2" w:rsidRPr="003E36D2" w:rsidRDefault="003E36D2" w:rsidP="003E36D2">
      <w:pPr>
        <w:ind w:left="0" w:hanging="2"/>
      </w:pPr>
    </w:p>
    <w:p w14:paraId="00000197" w14:textId="77777777" w:rsidR="00AE329A" w:rsidRDefault="00000000">
      <w:pPr>
        <w:pStyle w:val="Titre2"/>
        <w:ind w:left="0" w:hanging="2"/>
      </w:pPr>
      <w:r>
        <w:t>Sexualité et génitalité</w:t>
      </w:r>
    </w:p>
    <w:p w14:paraId="00000198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199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Savoir aborder la sexualité (orientation, pratiques, santé, prévention, violences…)</w:t>
      </w:r>
    </w:p>
    <w:p w14:paraId="0000019A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Savoir mener un examen clinique autour des problématiques sexuelles</w:t>
      </w:r>
    </w:p>
    <w:p w14:paraId="0000019B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Connaitre les principaux troubles sexuels</w:t>
      </w:r>
    </w:p>
    <w:p w14:paraId="0000019C" w14:textId="77777777" w:rsidR="00AE329A" w:rsidRDefault="00AE329A">
      <w:pPr>
        <w:ind w:left="0" w:hanging="2"/>
        <w:rPr>
          <w:sz w:val="22"/>
          <w:szCs w:val="22"/>
        </w:rPr>
      </w:pPr>
    </w:p>
    <w:p w14:paraId="0000019D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  <w:u w:val="single"/>
        </w:rPr>
        <w:t>NB</w:t>
      </w:r>
      <w:r>
        <w:rPr>
          <w:b/>
          <w:sz w:val="22"/>
          <w:szCs w:val="22"/>
        </w:rPr>
        <w:t xml:space="preserve"> : </w:t>
      </w:r>
      <w:r>
        <w:rPr>
          <w:sz w:val="22"/>
          <w:szCs w:val="22"/>
        </w:rPr>
        <w:t>Les contraceptions « hors pilules » sont abordé en « simulation gynécologie » , le projet/suivi de grossesse et l’IVG dans la séance thématisée centrée sur la « grossesse prévue et imprévue » et le dépistage des cancers dans la séance thématisée centrée sur « vaccins et dépistages systématiques ».</w:t>
      </w:r>
    </w:p>
    <w:p w14:paraId="2D579942" w14:textId="77777777" w:rsidR="003E36D2" w:rsidRDefault="003E36D2">
      <w:pPr>
        <w:pStyle w:val="Titre2"/>
        <w:ind w:left="0" w:hanging="2"/>
      </w:pPr>
    </w:p>
    <w:p w14:paraId="000001FF" w14:textId="0631535C" w:rsidR="00AE329A" w:rsidRDefault="00000000">
      <w:pPr>
        <w:pStyle w:val="Titre2"/>
        <w:ind w:left="0" w:hanging="2"/>
        <w:rPr>
          <w:u w:val="single"/>
        </w:rPr>
      </w:pPr>
      <w:r>
        <w:t>Histoire familiale et vie de couple</w:t>
      </w:r>
      <w:r>
        <w:tab/>
      </w:r>
    </w:p>
    <w:p w14:paraId="00000200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201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Identifier et évaluer les dynamiques familiales perturbées.</w:t>
      </w:r>
    </w:p>
    <w:p w14:paraId="00000202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Identifier et évaluer des conflits intra-familiaux aigues ou pérennes</w:t>
      </w:r>
    </w:p>
    <w:p w14:paraId="00000203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Prendre en charge les situations de violences intra-familiales (dépistage, certificats, orientation…)</w:t>
      </w:r>
    </w:p>
    <w:p w14:paraId="00000204" w14:textId="3B2CA24D" w:rsidR="003E36D2" w:rsidRDefault="00000000" w:rsidP="003E36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Respecter le secret médical intra-familial</w:t>
      </w:r>
    </w:p>
    <w:p w14:paraId="57767C38" w14:textId="77777777" w:rsidR="003E36D2" w:rsidRDefault="003E36D2" w:rsidP="003E36D2">
      <w:pPr>
        <w:ind w:left="0" w:hanging="2"/>
      </w:pPr>
    </w:p>
    <w:p w14:paraId="0000021F" w14:textId="149F5298" w:rsidR="00AE329A" w:rsidRDefault="00000000">
      <w:pPr>
        <w:pStyle w:val="Titre2"/>
        <w:ind w:left="0" w:hanging="2"/>
        <w:rPr>
          <w:u w:val="single"/>
        </w:rPr>
      </w:pPr>
      <w:r>
        <w:t>Souffrance au travail</w:t>
      </w:r>
    </w:p>
    <w:p w14:paraId="00000220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b w:val="0"/>
          <w:u w:val="none"/>
        </w:rPr>
      </w:pPr>
      <w:r>
        <w:t xml:space="preserve">Objectifs :  </w:t>
      </w:r>
    </w:p>
    <w:p w14:paraId="00000221" w14:textId="77777777" w:rsidR="00AE329A" w:rsidRDefault="00000000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le lien entre travail et problèmes de santé (physique ou psychique)</w:t>
      </w:r>
    </w:p>
    <w:p w14:paraId="00000222" w14:textId="77777777" w:rsidR="00AE32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Savoir déclarer une maladie professionnelle/accident du travail/MDPH/invalidité</w:t>
      </w:r>
    </w:p>
    <w:p w14:paraId="00000223" w14:textId="77777777" w:rsidR="00AE329A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- Connaitre et savoir interagir avec les différents acteurs (médecine du travail, CPAM, etc…)</w:t>
      </w:r>
    </w:p>
    <w:p w14:paraId="00000224" w14:textId="31AF3AF3" w:rsidR="003E36D2" w:rsidRDefault="00000000" w:rsidP="003E36D2">
      <w:pPr>
        <w:ind w:left="0" w:hanging="2"/>
        <w:rPr>
          <w:sz w:val="22"/>
          <w:szCs w:val="22"/>
        </w:rPr>
      </w:pPr>
      <w:r>
        <w:rPr>
          <w:sz w:val="22"/>
          <w:szCs w:val="22"/>
        </w:rPr>
        <w:t>- Aborder la gestion de l’arrêt de travail et de sa durée</w:t>
      </w:r>
    </w:p>
    <w:p w14:paraId="6E25C03B" w14:textId="77777777" w:rsidR="003E36D2" w:rsidRDefault="003E36D2" w:rsidP="003E36D2">
      <w:pPr>
        <w:ind w:left="0" w:hanging="2"/>
      </w:pPr>
    </w:p>
    <w:p w14:paraId="0000025E" w14:textId="24B64037" w:rsidR="00AE329A" w:rsidRDefault="00000000">
      <w:pPr>
        <w:pStyle w:val="Titre2"/>
        <w:ind w:left="0" w:hanging="2"/>
        <w:rPr>
          <w:u w:val="single"/>
        </w:rPr>
      </w:pPr>
      <w:r>
        <w:t>Exercice médical et professionnalisme</w:t>
      </w:r>
    </w:p>
    <w:p w14:paraId="0000025F" w14:textId="77777777" w:rsidR="00AE329A" w:rsidRDefault="00000000">
      <w:pPr>
        <w:pStyle w:val="Titre3"/>
        <w:numPr>
          <w:ilvl w:val="0"/>
          <w:numId w:val="9"/>
        </w:numPr>
        <w:ind w:left="0" w:hanging="2"/>
        <w:rPr>
          <w:u w:val="none"/>
        </w:rPr>
      </w:pPr>
      <w:r>
        <w:t xml:space="preserve">Objectifs :  </w:t>
      </w:r>
    </w:p>
    <w:p w14:paraId="00000260" w14:textId="77777777" w:rsidR="00AE329A" w:rsidRDefault="00000000">
      <w:pPr>
        <w:numPr>
          <w:ilvl w:val="0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Place des visites à domicile et de la télémédecine, </w:t>
      </w:r>
    </w:p>
    <w:p w14:paraId="00000261" w14:textId="77777777" w:rsidR="00AE329A" w:rsidRDefault="00000000">
      <w:pPr>
        <w:numPr>
          <w:ilvl w:val="0"/>
          <w:numId w:val="6"/>
        </w:numPr>
        <w:ind w:left="0" w:hanging="2"/>
        <w:rPr>
          <w:sz w:val="20"/>
          <w:szCs w:val="20"/>
        </w:rPr>
      </w:pPr>
      <w:r>
        <w:rPr>
          <w:sz w:val="20"/>
          <w:szCs w:val="20"/>
        </w:rPr>
        <w:t xml:space="preserve">Formation continue (DPC/DU…), Mode d’exercice : salariat/libéral/… </w:t>
      </w:r>
    </w:p>
    <w:p w14:paraId="00000262" w14:textId="77777777" w:rsidR="00AE329A" w:rsidRDefault="0000000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54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0"/>
          <w:szCs w:val="20"/>
        </w:rPr>
        <w:t>Coordination : DAC (maïa,clic), CPTS, équipe mobile, réseaux de soins</w:t>
      </w:r>
    </w:p>
    <w:sectPr w:rsidR="00AE32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2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E73A7" w14:textId="77777777" w:rsidR="003652FA" w:rsidRDefault="003652FA">
      <w:pPr>
        <w:spacing w:line="240" w:lineRule="auto"/>
        <w:ind w:left="0" w:hanging="2"/>
      </w:pPr>
      <w:r>
        <w:separator/>
      </w:r>
    </w:p>
  </w:endnote>
  <w:endnote w:type="continuationSeparator" w:id="0">
    <w:p w14:paraId="16515A6A" w14:textId="77777777" w:rsidR="003652FA" w:rsidRDefault="003652F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Liberation Sans">
    <w:altName w:val="Arial"/>
    <w:charset w:val="00"/>
    <w:family w:val="swiss"/>
    <w:pitch w:val="variable"/>
  </w:font>
  <w:font w:name="Noto Sans CJK JP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8" w14:textId="3192A4DD" w:rsidR="00AE32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E36D2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  <w:p w14:paraId="00000279" w14:textId="77777777" w:rsidR="00AE329A" w:rsidRDefault="00AE3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B" w14:textId="50218907" w:rsidR="00AE329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3E36D2">
      <w:rPr>
        <w:noProof/>
        <w:sz w:val="22"/>
        <w:szCs w:val="22"/>
      </w:rPr>
      <w:t>1</w:t>
    </w:r>
    <w:r>
      <w:rPr>
        <w:sz w:val="22"/>
        <w:szCs w:val="22"/>
      </w:rPr>
      <w:fldChar w:fldCharType="end"/>
    </w:r>
    <w:r>
      <w:rPr>
        <w:rFonts w:ascii="Arial" w:eastAsia="Arial" w:hAnsi="Arial" w:cs="Arial"/>
        <w:smallCaps/>
        <w:sz w:val="20"/>
        <w:szCs w:val="20"/>
      </w:rPr>
      <w:t xml:space="preserve">                                                        </w:t>
    </w:r>
  </w:p>
  <w:p w14:paraId="0000027C" w14:textId="77777777" w:rsidR="00AE329A" w:rsidRDefault="00AE329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A" w14:textId="77777777" w:rsidR="00AE329A" w:rsidRDefault="00AE329A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F73B3" w14:textId="77777777" w:rsidR="003652FA" w:rsidRDefault="003652FA">
      <w:pPr>
        <w:spacing w:line="240" w:lineRule="auto"/>
        <w:ind w:left="0" w:hanging="2"/>
      </w:pPr>
      <w:r>
        <w:separator/>
      </w:r>
    </w:p>
  </w:footnote>
  <w:footnote w:type="continuationSeparator" w:id="0">
    <w:p w14:paraId="0FA42BF4" w14:textId="77777777" w:rsidR="003652FA" w:rsidRDefault="003652F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6" w14:textId="77777777" w:rsidR="00AE329A" w:rsidRDefault="00AE329A">
    <w:pPr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5" w14:textId="77777777" w:rsidR="00AE329A" w:rsidRDefault="00AE329A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77" w14:textId="77777777" w:rsidR="00AE329A" w:rsidRDefault="00AE329A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D9"/>
    <w:multiLevelType w:val="multilevel"/>
    <w:tmpl w:val="2E76BD8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F566ABA"/>
    <w:multiLevelType w:val="multilevel"/>
    <w:tmpl w:val="7452C7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DC17F18"/>
    <w:multiLevelType w:val="multilevel"/>
    <w:tmpl w:val="0AA0D8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F496B47"/>
    <w:multiLevelType w:val="multilevel"/>
    <w:tmpl w:val="C56C56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C6736ED"/>
    <w:multiLevelType w:val="multilevel"/>
    <w:tmpl w:val="D988EEAA"/>
    <w:lvl w:ilvl="0">
      <w:start w:val="1"/>
      <w:numFmt w:val="bullet"/>
      <w:pStyle w:val="Titre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5F8B2066"/>
    <w:multiLevelType w:val="multilevel"/>
    <w:tmpl w:val="5CDCF80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FE52488"/>
    <w:multiLevelType w:val="multilevel"/>
    <w:tmpl w:val="61C89B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6A34622"/>
    <w:multiLevelType w:val="multilevel"/>
    <w:tmpl w:val="B6A0C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72B42678"/>
    <w:multiLevelType w:val="multilevel"/>
    <w:tmpl w:val="066470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936719105">
    <w:abstractNumId w:val="5"/>
  </w:num>
  <w:num w:numId="2" w16cid:durableId="1691637032">
    <w:abstractNumId w:val="1"/>
  </w:num>
  <w:num w:numId="3" w16cid:durableId="191498705">
    <w:abstractNumId w:val="4"/>
  </w:num>
  <w:num w:numId="4" w16cid:durableId="2057192162">
    <w:abstractNumId w:val="3"/>
  </w:num>
  <w:num w:numId="5" w16cid:durableId="534195603">
    <w:abstractNumId w:val="2"/>
  </w:num>
  <w:num w:numId="6" w16cid:durableId="889927009">
    <w:abstractNumId w:val="0"/>
  </w:num>
  <w:num w:numId="7" w16cid:durableId="1307126076">
    <w:abstractNumId w:val="7"/>
  </w:num>
  <w:num w:numId="8" w16cid:durableId="1173884040">
    <w:abstractNumId w:val="8"/>
  </w:num>
  <w:num w:numId="9" w16cid:durableId="31981679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29A"/>
    <w:rsid w:val="003652FA"/>
    <w:rsid w:val="003E36D2"/>
    <w:rsid w:val="00AE329A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BA0AF"/>
  <w15:docId w15:val="{D76F17F2-6A63-4573-8A7D-CCC27A5DC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4"/>
        <w:szCs w:val="24"/>
        <w:lang w:val="fr-FR" w:eastAsia="fr-FR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paragraph" w:styleId="Titre1">
    <w:name w:val="heading 1"/>
    <w:basedOn w:val="Normal"/>
    <w:next w:val="Normal"/>
    <w:uiPriority w:val="9"/>
    <w:qFormat/>
    <w:pPr>
      <w:spacing w:before="300"/>
    </w:pPr>
    <w:rPr>
      <w:b/>
      <w:color w:val="CF012C"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keepLines/>
      <w:spacing w:after="160"/>
      <w:outlineLvl w:val="1"/>
    </w:pPr>
    <w:rPr>
      <w:b/>
      <w:color w:val="C00000"/>
      <w:sz w:val="22"/>
      <w:szCs w:val="22"/>
    </w:rPr>
  </w:style>
  <w:style w:type="paragraph" w:styleId="Titre3">
    <w:name w:val="heading 3"/>
    <w:basedOn w:val="Normal"/>
    <w:next w:val="Normal"/>
    <w:uiPriority w:val="9"/>
    <w:unhideWhenUsed/>
    <w:qFormat/>
    <w:pPr>
      <w:numPr>
        <w:numId w:val="3"/>
      </w:numPr>
      <w:spacing w:after="80"/>
      <w:ind w:left="714" w:hanging="357"/>
      <w:outlineLvl w:val="2"/>
    </w:pPr>
    <w:rPr>
      <w:b/>
      <w:bCs/>
      <w:color w:val="833C0B"/>
      <w:sz w:val="22"/>
      <w:szCs w:val="22"/>
      <w:u w:val="single"/>
    </w:rPr>
  </w:style>
  <w:style w:type="paragraph" w:styleId="Titre4">
    <w:name w:val="heading 4"/>
    <w:basedOn w:val="Titre2"/>
    <w:next w:val="Normal"/>
    <w:uiPriority w:val="9"/>
    <w:semiHidden/>
    <w:unhideWhenUsed/>
    <w:qFormat/>
    <w:pPr>
      <w:outlineLvl w:val="3"/>
    </w:p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jc w:val="center"/>
    </w:pPr>
    <w:rPr>
      <w:b/>
      <w:color w:val="C00000"/>
      <w:sz w:val="26"/>
      <w:szCs w:val="2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rPr>
      <w:rFonts w:ascii="Cambria" w:hAnsi="Cambria" w:cs="Cambria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2z0">
    <w:name w:val="WW8Num2z0"/>
    <w:rPr>
      <w:rFonts w:ascii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Wingdings" w:hAnsi="Wingdings" w:cs="F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WW8Num4z1">
    <w:name w:val="WW8Num4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2">
    <w:name w:val="WW8Num5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3">
    <w:name w:val="WW8Num5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4">
    <w:name w:val="WW8Num5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5">
    <w:name w:val="WW8Num5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6">
    <w:name w:val="WW8Num5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7">
    <w:name w:val="WW8Num5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8">
    <w:name w:val="WW8Num5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2">
    <w:name w:val="WW8Num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7z3">
    <w:name w:val="WW8Num7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Calibri" w:eastAsia="Calibri" w:hAnsi="Calibri" w:cs="Calibri" w:hint="default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2">
    <w:name w:val="WW8Num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0z0">
    <w:name w:val="WW8Num10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1">
    <w:name w:val="WW8Num10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2">
    <w:name w:val="WW8Num10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3">
    <w:name w:val="WW8Num10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4">
    <w:name w:val="WW8Num10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5">
    <w:name w:val="WW8Num10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6">
    <w:name w:val="WW8Num10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7">
    <w:name w:val="WW8Num10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0z8">
    <w:name w:val="WW8Num10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0">
    <w:name w:val="WW8Num12z0"/>
    <w:rPr>
      <w:rFonts w:ascii="Calibri" w:eastAsia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1">
    <w:name w:val="WW8Num1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2">
    <w:name w:val="WW8Num1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2z3">
    <w:name w:val="WW8Num12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0">
    <w:name w:val="WW8Num13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3z2">
    <w:name w:val="WW8Num13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0">
    <w:name w:val="WW8Num14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4z1">
    <w:name w:val="WW8Num1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4z2">
    <w:name w:val="WW8Num1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Pr>
      <w:rFonts w:ascii="Calibri" w:eastAsia="Calibri" w:hAnsi="Calibri" w:cs="Calibri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5z1">
    <w:name w:val="WW8Num15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2">
    <w:name w:val="WW8Num15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5z3">
    <w:name w:val="WW8Num15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0">
    <w:name w:val="WW8Num16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1">
    <w:name w:val="WW8Num16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6z2">
    <w:name w:val="WW8Num16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0">
    <w:name w:val="WW8Num17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1">
    <w:name w:val="WW8Num17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7z2">
    <w:name w:val="WW8Num17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0">
    <w:name w:val="WW8Num18z0"/>
    <w:rPr>
      <w:rFonts w:ascii="Symbol" w:hAnsi="Symbol" w:cs="Symbol" w:hint="default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18z1">
    <w:name w:val="WW8Num18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8z2">
    <w:name w:val="WW8Num18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0">
    <w:name w:val="WW8Num19z0"/>
    <w:rPr>
      <w:rFonts w:ascii="Calibri" w:eastAsia="Calibri" w:hAnsi="Calibri" w:cs="Times New Roman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1">
    <w:name w:val="WW8Num19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2">
    <w:name w:val="WW8Num19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19z3">
    <w:name w:val="WW8Num19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0z0">
    <w:name w:val="WW8Num20z0"/>
    <w:rPr>
      <w:rFonts w:ascii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0">
    <w:name w:val="WW8Num21z0"/>
    <w:rPr>
      <w:rFonts w:ascii="Calibri" w:eastAsia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2">
    <w:name w:val="WW8Num21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1z3">
    <w:name w:val="WW8Num21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0">
    <w:name w:val="WW8Num22z0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2z2">
    <w:name w:val="WW8Num22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3z0">
    <w:name w:val="WW8Num2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1">
    <w:name w:val="WW8Num2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2">
    <w:name w:val="WW8Num2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3">
    <w:name w:val="WW8Num2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4">
    <w:name w:val="WW8Num2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5">
    <w:name w:val="WW8Num2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6">
    <w:name w:val="WW8Num2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7">
    <w:name w:val="WW8Num2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3z8">
    <w:name w:val="WW8Num2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4z0">
    <w:name w:val="WW8Num24z0"/>
    <w:rPr>
      <w:rFonts w:ascii="Calibri" w:eastAsia="Calibri" w:hAnsi="Calibri" w:cs="Calibri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1">
    <w:name w:val="WW8Num24z1"/>
    <w:rPr>
      <w:rFonts w:ascii="Courier New" w:hAnsi="Courier New" w:cs="Courier New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2">
    <w:name w:val="WW8Num24z2"/>
    <w:rPr>
      <w:rFonts w:ascii="Wingdings" w:hAnsi="Wingdings" w:cs="Wingdings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WW8Num24z3">
    <w:name w:val="WW8Num24z3"/>
    <w:rPr>
      <w:rFonts w:ascii="Symbol" w:hAnsi="Symbol" w:cs="Symbol" w:hint="default"/>
      <w:w w:val="100"/>
      <w:position w:val="-1"/>
      <w:effect w:val="none"/>
      <w:vertAlign w:val="baseline"/>
      <w:cs w:val="0"/>
      <w:em w:val="none"/>
    </w:rPr>
  </w:style>
  <w:style w:type="character" w:customStyle="1" w:styleId="Policepardfaut1">
    <w:name w:val="Police par défaut1"/>
    <w:rPr>
      <w:w w:val="100"/>
      <w:position w:val="-1"/>
      <w:effect w:val="none"/>
      <w:vertAlign w:val="baseline"/>
      <w:cs w:val="0"/>
      <w:em w:val="none"/>
    </w:rPr>
  </w:style>
  <w:style w:type="character" w:customStyle="1" w:styleId="En-tteCar">
    <w:name w:val="En-têt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PieddepageCar">
    <w:name w:val="Pied de page Car"/>
    <w:basedOn w:val="Policepardfaut"/>
    <w:rPr>
      <w:w w:val="100"/>
      <w:position w:val="-1"/>
      <w:effect w:val="none"/>
      <w:vertAlign w:val="baseline"/>
      <w:cs w:val="0"/>
      <w:em w:val="none"/>
    </w:rPr>
  </w:style>
  <w:style w:type="character" w:customStyle="1" w:styleId="ExplorateurdedocumentsCar">
    <w:name w:val="Explorateur de documents Car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1">
    <w:name w:val="ListLabel 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">
    <w:name w:val="ListLabel 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">
    <w:name w:val="ListLabel 4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">
    <w:name w:val="ListLabel 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">
    <w:name w:val="ListLabel 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">
    <w:name w:val="ListLabel 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">
    <w:name w:val="ListLabel 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9">
    <w:name w:val="ListLabel 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0">
    <w:name w:val="ListLabel 1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1">
    <w:name w:val="ListLabel 1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2">
    <w:name w:val="ListLabel 1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3">
    <w:name w:val="ListLabel 1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4">
    <w:name w:val="ListLabel 1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5">
    <w:name w:val="ListLabel 1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6">
    <w:name w:val="ListLabel 1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7">
    <w:name w:val="ListLabel 17"/>
    <w:rPr>
      <w:rFonts w:ascii="Calibri" w:eastAsia="MS Mincho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8">
    <w:name w:val="ListLabel 18"/>
    <w:rPr>
      <w:rFonts w:ascii="Calibri" w:eastAsia="MS Mincho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19">
    <w:name w:val="ListLabel 19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0">
    <w:name w:val="ListLabel 2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1">
    <w:name w:val="ListLabel 2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2">
    <w:name w:val="ListLabel 2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3">
    <w:name w:val="ListLabel 2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4">
    <w:name w:val="ListLabel 2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5">
    <w:name w:val="ListLabel 2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6">
    <w:name w:val="ListLabel 2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7">
    <w:name w:val="ListLabel 2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28">
    <w:name w:val="ListLabel 28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29">
    <w:name w:val="ListLabel 2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0">
    <w:name w:val="ListLabel 3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1">
    <w:name w:val="ListLabel 3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2">
    <w:name w:val="ListLabel 3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3">
    <w:name w:val="ListLabel 3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4">
    <w:name w:val="ListLabel 3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5">
    <w:name w:val="ListLabel 3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6">
    <w:name w:val="ListLabel 3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7">
    <w:name w:val="ListLabel 37"/>
    <w:rPr>
      <w:rFonts w:ascii="Calibri" w:hAnsi="Calibri" w:cs="Times New Roman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38">
    <w:name w:val="ListLabel 3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9">
    <w:name w:val="ListLabel 3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0">
    <w:name w:val="ListLabel 4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1">
    <w:name w:val="ListLabel 4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2">
    <w:name w:val="ListLabel 4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3">
    <w:name w:val="ListLabel 4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4">
    <w:name w:val="ListLabel 4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5">
    <w:name w:val="ListLabel 45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">
    <w:name w:val="Bullet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TextedebullesCar">
    <w:name w:val="Texte de bulles Car"/>
    <w:rPr>
      <w:rFonts w:ascii="Times New Roman" w:hAnsi="Times New Roman" w:cs="Times New Roman"/>
      <w:color w:val="00000A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istLabel46">
    <w:name w:val="ListLabel 46"/>
    <w:rPr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47">
    <w:name w:val="ListLabel 4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8">
    <w:name w:val="ListLabel 4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49">
    <w:name w:val="ListLabel 4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0">
    <w:name w:val="ListLabel 5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1">
    <w:name w:val="ListLabel 5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2">
    <w:name w:val="ListLabel 5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3">
    <w:name w:val="ListLabel 5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4">
    <w:name w:val="ListLabel 5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5">
    <w:name w:val="ListLabel 55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56">
    <w:name w:val="ListLabel 5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7">
    <w:name w:val="ListLabel 5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8">
    <w:name w:val="ListLabel 5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59">
    <w:name w:val="ListLabel 5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0">
    <w:name w:val="ListLabel 6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1">
    <w:name w:val="ListLabel 6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2">
    <w:name w:val="ListLabel 6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3">
    <w:name w:val="ListLabel 6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4">
    <w:name w:val="ListLabel 64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65">
    <w:name w:val="ListLabel 6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6">
    <w:name w:val="ListLabel 66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7">
    <w:name w:val="ListLabel 6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8">
    <w:name w:val="ListLabel 6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69">
    <w:name w:val="ListLabel 6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0">
    <w:name w:val="ListLabel 7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1">
    <w:name w:val="ListLabel 7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2">
    <w:name w:val="ListLabel 7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3">
    <w:name w:val="ListLabel 73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4">
    <w:name w:val="ListLabel 7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5">
    <w:name w:val="ListLabel 7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6">
    <w:name w:val="ListLabel 76"/>
    <w:rPr>
      <w:rFonts w:ascii="Calibri" w:eastAsia="Calibri" w:hAnsi="Calibri" w:cs="Calibri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77">
    <w:name w:val="ListLabel 77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8">
    <w:name w:val="ListLabel 7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79">
    <w:name w:val="ListLabel 79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0">
    <w:name w:val="ListLabel 80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1">
    <w:name w:val="ListLabel 81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2">
    <w:name w:val="ListLabel 82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3">
    <w:name w:val="ListLabel 83"/>
    <w:rPr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ListLabel84">
    <w:name w:val="ListLabel 84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5">
    <w:name w:val="ListLabel 85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86">
    <w:name w:val="ListLabel 86"/>
    <w:rPr>
      <w:w w:val="100"/>
      <w:position w:val="-1"/>
      <w:effect w:val="none"/>
      <w:vertAlign w:val="baseline"/>
      <w:cs w:val="0"/>
      <w:em w:val="none"/>
    </w:rPr>
  </w:style>
  <w:style w:type="character" w:styleId="Lienhypertexte">
    <w:name w:val="Hyperlink"/>
    <w:uiPriority w:val="99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Mentionnonrsolue">
    <w:name w:val="Unresolved Mention"/>
    <w:uiPriority w:val="99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Marquedecommentaire1">
    <w:name w:val="Marque de commentaire1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CommentaireCar">
    <w:name w:val="Commentaire Car"/>
    <w:rPr>
      <w:rFonts w:ascii="Calibri" w:eastAsia="Calibri" w:hAnsi="Calibri"/>
      <w:color w:val="00000A"/>
      <w:w w:val="100"/>
      <w:kern w:val="1"/>
      <w:position w:val="-1"/>
      <w:effect w:val="none"/>
      <w:vertAlign w:val="baseline"/>
      <w:cs w:val="0"/>
      <w:em w:val="none"/>
    </w:rPr>
  </w:style>
  <w:style w:type="character" w:customStyle="1" w:styleId="ObjetducommentaireCar">
    <w:name w:val="Objet du commentaire Car"/>
    <w:rPr>
      <w:rFonts w:ascii="Calibri" w:eastAsia="Calibri" w:hAnsi="Calibri"/>
      <w:b/>
      <w:bCs/>
      <w:color w:val="00000A"/>
      <w:w w:val="100"/>
      <w:kern w:val="1"/>
      <w:position w:val="-1"/>
      <w:effect w:val="none"/>
      <w:vertAlign w:val="baseline"/>
      <w:cs w:val="0"/>
      <w:em w:val="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Noto Sans Devanagari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pPr>
      <w:suppressLineNumbers/>
    </w:pPr>
    <w:rPr>
      <w:rFonts w:cs="Noto Sans Devanagari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ascii="Liberation Sans" w:eastAsia="Noto Sans CJK JP Regular" w:hAnsi="Liberation Sans" w:cs="Noto Sans Devanagari"/>
      <w:sz w:val="28"/>
      <w:szCs w:val="28"/>
    </w:rPr>
  </w:style>
  <w:style w:type="paragraph" w:styleId="Lgende">
    <w:name w:val="caption"/>
    <w:basedOn w:val="Normal"/>
    <w:pPr>
      <w:suppressLineNumbers/>
      <w:spacing w:before="120" w:after="120"/>
    </w:pPr>
    <w:rPr>
      <w:rFonts w:cs="Noto Sans Devanagari"/>
      <w:i/>
      <w:iCs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sz w:val="22"/>
      <w:szCs w:val="22"/>
    </w:rPr>
  </w:style>
  <w:style w:type="paragraph" w:styleId="Explorateurdedocuments">
    <w:name w:val="Document Map"/>
    <w:basedOn w:val="Normal"/>
    <w:rPr>
      <w:rFonts w:ascii="Times New Roman" w:hAnsi="Times New Roman" w:cs="Times New Roman"/>
    </w:rPr>
  </w:style>
  <w:style w:type="paragraph" w:styleId="Paragraphedeliste">
    <w:name w:val="List Paragraph"/>
    <w:basedOn w:val="Normal"/>
    <w:pPr>
      <w:suppressAutoHyphens/>
      <w:spacing w:after="160" w:line="254" w:lineRule="auto"/>
      <w:ind w:left="720" w:firstLine="0"/>
    </w:pPr>
    <w:rPr>
      <w:rFonts w:cs="Times New Roman"/>
      <w:color w:val="auto"/>
      <w:sz w:val="22"/>
      <w:szCs w:val="22"/>
    </w:rPr>
  </w:style>
  <w:style w:type="paragraph" w:styleId="Textedebulles">
    <w:name w:val="Balloon Text"/>
    <w:basedOn w:val="Normal"/>
    <w:rPr>
      <w:rFonts w:ascii="Times New Roman" w:hAnsi="Times New Roman" w:cs="Times New Roman"/>
      <w:sz w:val="18"/>
      <w:szCs w:val="18"/>
    </w:rPr>
  </w:style>
  <w:style w:type="paragraph" w:customStyle="1" w:styleId="Commentaire1">
    <w:name w:val="Commentaire1"/>
    <w:basedOn w:val="Normal"/>
    <w:rPr>
      <w:sz w:val="20"/>
      <w:szCs w:val="20"/>
    </w:rPr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WW-Standard">
    <w:name w:val="WW-Standard"/>
    <w:pPr>
      <w:spacing w:line="1" w:lineRule="atLeast"/>
      <w:ind w:leftChars="-1" w:left="-1" w:hangingChars="1"/>
      <w:textDirection w:val="btLr"/>
      <w:textAlignment w:val="baseline"/>
      <w:outlineLvl w:val="0"/>
    </w:pPr>
    <w:rPr>
      <w:rFonts w:cs="F"/>
      <w:position w:val="-1"/>
      <w:lang w:eastAsia="ar-SA"/>
    </w:rPr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Rvision">
    <w:name w:val="Revision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  <w:lang w:eastAsia="ar-SA"/>
    </w:rPr>
  </w:style>
  <w:style w:type="character" w:customStyle="1" w:styleId="Titre1Car">
    <w:name w:val="Titre 1 Car"/>
    <w:rPr>
      <w:rFonts w:ascii="Calibri" w:eastAsia="Calibri" w:hAnsi="Calibri" w:cs="Calibri"/>
      <w:b/>
      <w:color w:val="CF012C"/>
      <w:w w:val="100"/>
      <w:kern w:val="1"/>
      <w:position w:val="-1"/>
      <w:sz w:val="24"/>
      <w:szCs w:val="24"/>
      <w:effect w:val="none"/>
      <w:vertAlign w:val="baseline"/>
      <w:cs w:val="0"/>
      <w:em w:val="none"/>
      <w:lang w:eastAsia="ar-SA"/>
    </w:rPr>
  </w:style>
  <w:style w:type="character" w:customStyle="1" w:styleId="TitreCar">
    <w:name w:val="Titre Car"/>
    <w:rPr>
      <w:rFonts w:ascii="Calibri" w:eastAsia="Calibri" w:hAnsi="Calibri" w:cs="Calibri"/>
      <w:b/>
      <w:color w:val="C00000"/>
      <w:w w:val="100"/>
      <w:kern w:val="1"/>
      <w:position w:val="-1"/>
      <w:sz w:val="26"/>
      <w:szCs w:val="26"/>
      <w:effect w:val="none"/>
      <w:vertAlign w:val="baseline"/>
      <w:cs w:val="0"/>
      <w:em w:val="none"/>
      <w:lang w:eastAsia="ar-SA"/>
    </w:rPr>
  </w:style>
  <w:style w:type="character" w:customStyle="1" w:styleId="Titre2Car">
    <w:name w:val="Titre 2 Car"/>
    <w:rPr>
      <w:rFonts w:ascii="Calibri" w:eastAsia="Calibri" w:hAnsi="Calibri" w:cs="Calibri"/>
      <w:b/>
      <w:color w:val="C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character" w:customStyle="1" w:styleId="Titre3Car">
    <w:name w:val="Titre 3 Car"/>
    <w:rPr>
      <w:rFonts w:ascii="Calibri" w:eastAsia="Calibri" w:hAnsi="Calibri" w:cs="Calibri"/>
      <w:b/>
      <w:bCs/>
      <w:color w:val="833C0B"/>
      <w:w w:val="100"/>
      <w:kern w:val="1"/>
      <w:position w:val="-1"/>
      <w:sz w:val="22"/>
      <w:szCs w:val="22"/>
      <w:u w:val="single"/>
      <w:effect w:val="none"/>
      <w:vertAlign w:val="baseline"/>
      <w:cs w:val="0"/>
      <w:em w:val="none"/>
      <w:lang w:eastAsia="ar-SA"/>
    </w:rPr>
  </w:style>
  <w:style w:type="character" w:customStyle="1" w:styleId="Titre4Car">
    <w:name w:val="Titre 4 Car"/>
    <w:rPr>
      <w:rFonts w:ascii="Calibri" w:eastAsia="Calibri" w:hAnsi="Calibri" w:cs="Calibri"/>
      <w:b/>
      <w:color w:val="C00000"/>
      <w:w w:val="100"/>
      <w:kern w:val="1"/>
      <w:position w:val="-1"/>
      <w:sz w:val="22"/>
      <w:szCs w:val="22"/>
      <w:effect w:val="none"/>
      <w:vertAlign w:val="baseline"/>
      <w:cs w:val="0"/>
      <w:em w:val="none"/>
      <w:lang w:eastAsia="ar-SA"/>
    </w:rPr>
  </w:style>
  <w:style w:type="paragraph" w:styleId="En-ttedetabledesmatires">
    <w:name w:val="TOC Heading"/>
    <w:basedOn w:val="Titre1"/>
    <w:next w:val="Normal"/>
    <w:uiPriority w:val="39"/>
    <w:qFormat/>
    <w:pPr>
      <w:keepNext/>
      <w:keepLines/>
      <w:suppressAutoHyphens/>
      <w:spacing w:before="480" w:line="276" w:lineRule="auto"/>
      <w:outlineLvl w:val="9"/>
    </w:pPr>
    <w:rPr>
      <w:rFonts w:ascii="Calibri Light" w:eastAsia="Times New Roman" w:hAnsi="Calibri Light" w:cs="Times New Roman"/>
      <w:bCs/>
      <w:color w:val="2F5496"/>
      <w:kern w:val="0"/>
      <w:sz w:val="28"/>
      <w:szCs w:val="28"/>
      <w:lang w:eastAsia="fr-FR"/>
    </w:rPr>
  </w:style>
  <w:style w:type="paragraph" w:styleId="TM1">
    <w:name w:val="toc 1"/>
    <w:basedOn w:val="Normal"/>
    <w:next w:val="Normal"/>
    <w:uiPriority w:val="39"/>
    <w:qFormat/>
    <w:pPr>
      <w:tabs>
        <w:tab w:val="right" w:leader="dot" w:pos="9062"/>
      </w:tabs>
      <w:spacing w:before="120"/>
    </w:pPr>
    <w:rPr>
      <w:b/>
      <w:bCs/>
      <w:i/>
      <w:iCs/>
    </w:rPr>
  </w:style>
  <w:style w:type="paragraph" w:styleId="TM2">
    <w:name w:val="toc 2"/>
    <w:basedOn w:val="Normal"/>
    <w:next w:val="Normal"/>
    <w:uiPriority w:val="39"/>
    <w:qFormat/>
    <w:pPr>
      <w:spacing w:before="120"/>
      <w:ind w:left="240"/>
    </w:pPr>
    <w:rPr>
      <w:b/>
      <w:bCs/>
      <w:sz w:val="22"/>
      <w:szCs w:val="22"/>
    </w:rPr>
  </w:style>
  <w:style w:type="paragraph" w:styleId="TM3">
    <w:name w:val="toc 3"/>
    <w:basedOn w:val="Normal"/>
    <w:next w:val="Normal"/>
    <w:uiPriority w:val="39"/>
    <w:qFormat/>
    <w:pPr>
      <w:ind w:left="480"/>
    </w:pPr>
    <w:rPr>
      <w:sz w:val="20"/>
      <w:szCs w:val="20"/>
    </w:rPr>
  </w:style>
  <w:style w:type="paragraph" w:styleId="TM4">
    <w:name w:val="toc 4"/>
    <w:basedOn w:val="Normal"/>
    <w:next w:val="Normal"/>
    <w:uiPriority w:val="39"/>
    <w:qFormat/>
    <w:pPr>
      <w:ind w:left="720"/>
    </w:pPr>
    <w:rPr>
      <w:sz w:val="20"/>
      <w:szCs w:val="20"/>
    </w:rPr>
  </w:style>
  <w:style w:type="paragraph" w:styleId="TM5">
    <w:name w:val="toc 5"/>
    <w:basedOn w:val="Normal"/>
    <w:next w:val="Normal"/>
    <w:uiPriority w:val="39"/>
    <w:qFormat/>
    <w:pPr>
      <w:ind w:left="960"/>
    </w:pPr>
    <w:rPr>
      <w:sz w:val="20"/>
      <w:szCs w:val="20"/>
    </w:rPr>
  </w:style>
  <w:style w:type="paragraph" w:styleId="TM6">
    <w:name w:val="toc 6"/>
    <w:basedOn w:val="Normal"/>
    <w:next w:val="Normal"/>
    <w:uiPriority w:val="39"/>
    <w:qFormat/>
    <w:pPr>
      <w:ind w:left="1200"/>
    </w:pPr>
    <w:rPr>
      <w:sz w:val="20"/>
      <w:szCs w:val="20"/>
    </w:rPr>
  </w:style>
  <w:style w:type="paragraph" w:styleId="TM7">
    <w:name w:val="toc 7"/>
    <w:basedOn w:val="Normal"/>
    <w:next w:val="Normal"/>
    <w:uiPriority w:val="39"/>
    <w:qFormat/>
    <w:pPr>
      <w:ind w:left="1440"/>
    </w:pPr>
    <w:rPr>
      <w:sz w:val="20"/>
      <w:szCs w:val="20"/>
    </w:rPr>
  </w:style>
  <w:style w:type="paragraph" w:styleId="TM8">
    <w:name w:val="toc 8"/>
    <w:basedOn w:val="Normal"/>
    <w:next w:val="Normal"/>
    <w:uiPriority w:val="39"/>
    <w:qFormat/>
    <w:pPr>
      <w:ind w:left="1680"/>
    </w:pPr>
    <w:rPr>
      <w:sz w:val="20"/>
      <w:szCs w:val="20"/>
    </w:rPr>
  </w:style>
  <w:style w:type="paragraph" w:styleId="TM9">
    <w:name w:val="toc 9"/>
    <w:basedOn w:val="Normal"/>
    <w:next w:val="Normal"/>
    <w:uiPriority w:val="39"/>
    <w:qFormat/>
    <w:pPr>
      <w:ind w:left="1920"/>
    </w:pPr>
    <w:rPr>
      <w:sz w:val="20"/>
      <w:szCs w:val="20"/>
    </w:rPr>
  </w:style>
  <w:style w:type="character" w:styleId="Marquedecommentair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aire">
    <w:name w:val="annotation text"/>
    <w:basedOn w:val="Normal"/>
    <w:qFormat/>
    <w:rPr>
      <w:sz w:val="20"/>
      <w:szCs w:val="20"/>
    </w:rPr>
  </w:style>
  <w:style w:type="character" w:customStyle="1" w:styleId="CommentaireCar1">
    <w:name w:val="Commentaire Car1"/>
    <w:rPr>
      <w:rFonts w:ascii="Calibri" w:eastAsia="Calibri" w:hAnsi="Calibri"/>
      <w:color w:val="00000A"/>
      <w:w w:val="100"/>
      <w:kern w:val="1"/>
      <w:position w:val="-1"/>
      <w:effect w:val="none"/>
      <w:vertAlign w:val="baseline"/>
      <w:cs w:val="0"/>
      <w:em w:val="none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78T/ktcIi+pBEhUiGFIoSEr2k1A==">CgMxLjAyCWguMzBqMHpsbDIJaC4zem55c2g3MghoLnR5amN3dDIOaC5sNGs2bXBnOWx4eXAyCWguNGQzNG9nODIJaC4yczhleW8xMgloLjI2aW4xcmcyCGgubG54Yno5MgloLjQ0c2luaW8yCWguMXk4MTB0dzIJaC40aTdvamhwMgloLjN3aHdtbDQyCWguM2FzNHBvajINaC50dXBpZ25tcTJwaTIJaC4ycDJjc3J5MghoLmlodjYzNjIJaC4zMmhpb3F6MgloLjJncnFydWUyCWguMXYxeXV4dDIJaC40ZjFtZGxtMgloLjN0YnVncDE4AHIhMVc5WVhxRFRpV3F3Q1JkVTVjd0lpX1ZiRGs0Q205ZUl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1036</Words>
  <Characters>5702</Characters>
  <Application>Microsoft Office Word</Application>
  <DocSecurity>0</DocSecurity>
  <Lines>47</Lines>
  <Paragraphs>13</Paragraphs>
  <ScaleCrop>false</ScaleCrop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de Chanaud</dc:creator>
  <cp:lastModifiedBy>Alexandre MALMARTEL</cp:lastModifiedBy>
  <cp:revision>3</cp:revision>
  <dcterms:created xsi:type="dcterms:W3CDTF">2023-07-11T14:07:00Z</dcterms:created>
  <dcterms:modified xsi:type="dcterms:W3CDTF">2023-07-25T19:04:00Z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